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860873" w14:textId="77777777" w:rsidR="00F80994" w:rsidRPr="00AB5503" w:rsidRDefault="00F80994" w:rsidP="00F80994">
      <w:pPr>
        <w:spacing w:before="100" w:beforeAutospacing="1" w:after="100" w:afterAutospacing="1" w:line="240" w:lineRule="auto"/>
        <w:outlineLvl w:val="0"/>
        <w:rPr>
          <w:rFonts w:eastAsia="Times New Roman" w:cs="Calibri"/>
          <w:b/>
          <w:bCs/>
          <w:color w:val="000000"/>
          <w:kern w:val="36"/>
          <w:szCs w:val="24"/>
          <w:lang w:eastAsia="en-GB"/>
        </w:rPr>
      </w:pPr>
      <w:r w:rsidRPr="00AB5503">
        <w:rPr>
          <w:rFonts w:eastAsia="Times New Roman" w:cs="Calibri"/>
          <w:b/>
          <w:bCs/>
          <w:color w:val="000000"/>
          <w:kern w:val="36"/>
          <w:szCs w:val="24"/>
          <w:lang w:eastAsia="en-GB"/>
        </w:rPr>
        <w:t>Growing Up in the 2020s</w:t>
      </w:r>
    </w:p>
    <w:p w14:paraId="3DFF160B" w14:textId="77777777" w:rsidR="00F80994" w:rsidRPr="00AB5503" w:rsidRDefault="00F80994" w:rsidP="00F80994">
      <w:pPr>
        <w:spacing w:before="100" w:beforeAutospacing="1" w:after="100" w:afterAutospacing="1" w:line="240" w:lineRule="auto"/>
        <w:outlineLvl w:val="1"/>
        <w:rPr>
          <w:rFonts w:eastAsia="Times New Roman" w:cs="Calibri"/>
          <w:b/>
          <w:bCs/>
          <w:color w:val="000000"/>
          <w:szCs w:val="24"/>
          <w:lang w:eastAsia="en-GB"/>
        </w:rPr>
      </w:pPr>
      <w:r w:rsidRPr="00AB5503">
        <w:rPr>
          <w:rFonts w:eastAsia="Times New Roman" w:cs="Calibri"/>
          <w:b/>
          <w:bCs/>
          <w:color w:val="000000"/>
          <w:szCs w:val="24"/>
          <w:lang w:eastAsia="en-GB"/>
        </w:rPr>
        <w:t>What Year 8 pupils tell us about wellbeing, belonging and school life</w:t>
      </w:r>
    </w:p>
    <w:p w14:paraId="7DFD7DFB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color w:val="000000"/>
          <w:szCs w:val="24"/>
          <w:lang w:eastAsia="en-GB"/>
        </w:rPr>
        <w:t>A major new national study by the DfE and Anna Freud gives us a timely snapshot of what life is like for young people in the early years of secondary school</w:t>
      </w:r>
      <w:r w:rsidRPr="00AB5503">
        <w:rPr>
          <w:rStyle w:val="FootnoteReference"/>
          <w:rFonts w:eastAsia="Times New Roman" w:cs="Calibri"/>
          <w:color w:val="000000"/>
          <w:szCs w:val="24"/>
          <w:lang w:eastAsia="en-GB"/>
        </w:rPr>
        <w:footnoteReference w:id="1"/>
      </w:r>
      <w:r w:rsidRPr="00AB5503">
        <w:rPr>
          <w:rFonts w:eastAsia="Times New Roman" w:cs="Calibri"/>
          <w:color w:val="000000"/>
          <w:szCs w:val="24"/>
          <w:lang w:eastAsia="en-GB"/>
        </w:rPr>
        <w:t>.</w:t>
      </w:r>
    </w:p>
    <w:p w14:paraId="00D70C29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b/>
          <w:bCs/>
          <w:color w:val="000000"/>
          <w:szCs w:val="24"/>
          <w:lang w:eastAsia="en-GB"/>
        </w:rPr>
        <w:t>Growing Up in the 2020s</w:t>
      </w:r>
      <w:r w:rsidRPr="00AB5503">
        <w:rPr>
          <w:rFonts w:eastAsia="Times New Roman" w:cs="Calibri"/>
          <w:color w:val="000000"/>
          <w:szCs w:val="24"/>
          <w:lang w:eastAsia="en-GB"/>
        </w:rPr>
        <w:t> is following nearly 8,000 young people in England from Year 8 through secondary school and into early adulthood. Its first findings paint a mixed picture: </w:t>
      </w:r>
      <w:r w:rsidRPr="00AB5503">
        <w:rPr>
          <w:rFonts w:eastAsia="Times New Roman" w:cs="Calibri"/>
          <w:b/>
          <w:bCs/>
          <w:color w:val="000000"/>
          <w:szCs w:val="24"/>
          <w:lang w:eastAsia="en-GB"/>
        </w:rPr>
        <w:t>most young people are doing well in many areas of their lives, but a substantial minority are experiencing difficulties with mental health, attendance, belonging and engagement with school.</w:t>
      </w:r>
    </w:p>
    <w:p w14:paraId="54FA2BAD" w14:textId="77777777" w:rsidR="00F80994" w:rsidRPr="00AB5503" w:rsidRDefault="00F80994" w:rsidP="00F80994">
      <w:pPr>
        <w:spacing w:before="100" w:beforeAutospacing="1" w:after="100" w:afterAutospacing="1" w:line="240" w:lineRule="auto"/>
        <w:outlineLvl w:val="2"/>
        <w:rPr>
          <w:rFonts w:eastAsia="Times New Roman" w:cs="Calibri"/>
          <w:b/>
          <w:bCs/>
          <w:color w:val="000000"/>
          <w:szCs w:val="24"/>
          <w:lang w:eastAsia="en-GB"/>
        </w:rPr>
      </w:pPr>
      <w:r w:rsidRPr="00AB5503">
        <w:rPr>
          <w:rFonts w:eastAsia="Times New Roman" w:cs="Calibri"/>
          <w:b/>
          <w:bCs/>
          <w:color w:val="000000"/>
          <w:szCs w:val="24"/>
          <w:lang w:eastAsia="en-GB"/>
        </w:rPr>
        <w:t>A few figures worth noticing</w:t>
      </w:r>
    </w:p>
    <w:p w14:paraId="1C6A8130" w14:textId="77777777" w:rsidR="00F80994" w:rsidRPr="00F80994" w:rsidRDefault="00F80994" w:rsidP="00F80994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F80994">
        <w:rPr>
          <w:rFonts w:eastAsia="Times New Roman" w:cs="Calibri"/>
          <w:b/>
          <w:bCs/>
          <w:color w:val="000000"/>
          <w:szCs w:val="24"/>
          <w:lang w:eastAsia="en-GB"/>
        </w:rPr>
        <w:t>94%</w:t>
      </w:r>
      <w:r w:rsidRPr="00F80994">
        <w:rPr>
          <w:rFonts w:eastAsia="Times New Roman" w:cs="Calibri"/>
          <w:color w:val="000000"/>
          <w:szCs w:val="24"/>
          <w:lang w:eastAsia="en-GB"/>
        </w:rPr>
        <w:t> felt neutral or happy with their life overall.</w:t>
      </w:r>
    </w:p>
    <w:p w14:paraId="3CEADE9C" w14:textId="77777777" w:rsidR="00F80994" w:rsidRPr="00F80994" w:rsidRDefault="00F80994" w:rsidP="00F80994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F80994">
        <w:rPr>
          <w:rFonts w:eastAsia="Times New Roman" w:cs="Calibri"/>
          <w:b/>
          <w:bCs/>
          <w:color w:val="000000"/>
          <w:szCs w:val="24"/>
          <w:lang w:eastAsia="en-GB"/>
        </w:rPr>
        <w:t>25%</w:t>
      </w:r>
      <w:r w:rsidRPr="00F80994">
        <w:rPr>
          <w:rFonts w:eastAsia="Times New Roman" w:cs="Calibri"/>
          <w:color w:val="000000"/>
          <w:szCs w:val="24"/>
          <w:lang w:eastAsia="en-GB"/>
        </w:rPr>
        <w:t> met screening criteria for a probable mental health disorder.</w:t>
      </w:r>
    </w:p>
    <w:p w14:paraId="196AEE27" w14:textId="77777777" w:rsidR="00F80994" w:rsidRPr="00F80994" w:rsidRDefault="00F80994" w:rsidP="00F80994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F80994">
        <w:rPr>
          <w:rFonts w:eastAsia="Times New Roman" w:cs="Calibri"/>
          <w:b/>
          <w:bCs/>
          <w:color w:val="000000"/>
          <w:szCs w:val="24"/>
          <w:lang w:eastAsia="en-GB"/>
        </w:rPr>
        <w:t>74%</w:t>
      </w:r>
      <w:r w:rsidRPr="00F80994">
        <w:rPr>
          <w:rFonts w:eastAsia="Times New Roman" w:cs="Calibri"/>
          <w:color w:val="000000"/>
          <w:szCs w:val="24"/>
          <w:lang w:eastAsia="en-GB"/>
        </w:rPr>
        <w:t> felt safe at school.</w:t>
      </w:r>
    </w:p>
    <w:p w14:paraId="363EFBBA" w14:textId="77777777" w:rsidR="00F80994" w:rsidRPr="00F80994" w:rsidRDefault="00F80994" w:rsidP="00F80994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F80994">
        <w:rPr>
          <w:rFonts w:eastAsia="Times New Roman" w:cs="Calibri"/>
          <w:b/>
          <w:bCs/>
          <w:color w:val="000000"/>
          <w:szCs w:val="24"/>
          <w:lang w:eastAsia="en-GB"/>
        </w:rPr>
        <w:t>63%</w:t>
      </w:r>
      <w:r w:rsidRPr="00F80994">
        <w:rPr>
          <w:rFonts w:eastAsia="Times New Roman" w:cs="Calibri"/>
          <w:color w:val="000000"/>
          <w:szCs w:val="24"/>
          <w:lang w:eastAsia="en-GB"/>
        </w:rPr>
        <w:t> reported a sense of belonging at school.</w:t>
      </w:r>
    </w:p>
    <w:p w14:paraId="294BD2D5" w14:textId="77777777" w:rsidR="00F80994" w:rsidRPr="00F80994" w:rsidRDefault="00F80994" w:rsidP="00F80994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F80994">
        <w:rPr>
          <w:rFonts w:eastAsia="Times New Roman" w:cs="Calibri"/>
          <w:b/>
          <w:bCs/>
          <w:color w:val="000000"/>
          <w:szCs w:val="24"/>
          <w:lang w:eastAsia="en-GB"/>
        </w:rPr>
        <w:t>Nearly 1 in 5</w:t>
      </w:r>
      <w:r w:rsidRPr="00F80994">
        <w:rPr>
          <w:rFonts w:eastAsia="Times New Roman" w:cs="Calibri"/>
          <w:color w:val="000000"/>
          <w:szCs w:val="24"/>
          <w:lang w:eastAsia="en-GB"/>
        </w:rPr>
        <w:t> met the threshold for persistent absence.</w:t>
      </w:r>
    </w:p>
    <w:p w14:paraId="5CE3FB10" w14:textId="77777777" w:rsidR="00F80994" w:rsidRPr="00F80994" w:rsidRDefault="00F80994" w:rsidP="00F80994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F80994">
        <w:rPr>
          <w:rFonts w:eastAsia="Times New Roman" w:cs="Calibri"/>
          <w:color w:val="000000"/>
          <w:szCs w:val="24"/>
          <w:lang w:eastAsia="en-GB"/>
        </w:rPr>
        <w:t>Among young people who had experienced bullying, only </w:t>
      </w:r>
      <w:r w:rsidRPr="00F80994">
        <w:rPr>
          <w:rFonts w:eastAsia="Times New Roman" w:cs="Calibri"/>
          <w:b/>
          <w:bCs/>
          <w:color w:val="000000"/>
          <w:szCs w:val="24"/>
          <w:lang w:eastAsia="en-GB"/>
        </w:rPr>
        <w:t>31%</w:t>
      </w:r>
      <w:r w:rsidRPr="00F80994">
        <w:rPr>
          <w:rFonts w:eastAsia="Times New Roman" w:cs="Calibri"/>
          <w:color w:val="000000"/>
          <w:szCs w:val="24"/>
          <w:lang w:eastAsia="en-GB"/>
        </w:rPr>
        <w:t> felt confident that school staff knew it was happening.</w:t>
      </w:r>
    </w:p>
    <w:p w14:paraId="31236BCE" w14:textId="77777777" w:rsidR="00F80994" w:rsidRPr="00AB5503" w:rsidRDefault="00F80994" w:rsidP="00F80994">
      <w:pPr>
        <w:spacing w:before="100" w:beforeAutospacing="1" w:after="100" w:afterAutospacing="1" w:line="240" w:lineRule="auto"/>
        <w:outlineLvl w:val="2"/>
        <w:rPr>
          <w:rFonts w:eastAsia="Times New Roman" w:cs="Calibri"/>
          <w:b/>
          <w:bCs/>
          <w:color w:val="000000"/>
          <w:szCs w:val="24"/>
          <w:lang w:eastAsia="en-GB"/>
        </w:rPr>
      </w:pPr>
      <w:r w:rsidRPr="00AB5503">
        <w:rPr>
          <w:rFonts w:eastAsia="Times New Roman" w:cs="Calibri"/>
          <w:b/>
          <w:bCs/>
          <w:color w:val="000000"/>
          <w:szCs w:val="24"/>
          <w:lang w:eastAsia="en-GB"/>
        </w:rPr>
        <w:t>Look beneath the averages</w:t>
      </w:r>
    </w:p>
    <w:p w14:paraId="36EB9341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color w:val="000000"/>
          <w:szCs w:val="24"/>
          <w:lang w:eastAsia="en-GB"/>
        </w:rPr>
        <w:t>The challenges were not experienced equally.</w:t>
      </w:r>
    </w:p>
    <w:p w14:paraId="067D0127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color w:val="000000"/>
          <w:szCs w:val="24"/>
          <w:lang w:eastAsia="en-GB"/>
        </w:rPr>
        <w:t>Young people eligible for Free School Meals and those receiving SEN provision were more likely to experience difficulties across several areas of their lives.</w:t>
      </w:r>
    </w:p>
    <w:p w14:paraId="04A1F529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color w:val="000000"/>
          <w:szCs w:val="24"/>
          <w:lang w:eastAsia="en-GB"/>
        </w:rPr>
        <w:t>For example, </w:t>
      </w:r>
      <w:r w:rsidRPr="00AB5503">
        <w:rPr>
          <w:rFonts w:eastAsia="Times New Roman" w:cs="Calibri"/>
          <w:b/>
          <w:bCs/>
          <w:color w:val="000000"/>
          <w:szCs w:val="24"/>
          <w:lang w:eastAsia="en-GB"/>
        </w:rPr>
        <w:t>36% of pupils eligible for FSM met criteria for a probable mental health disorder</w:t>
      </w:r>
      <w:r w:rsidRPr="00AB5503">
        <w:rPr>
          <w:rFonts w:eastAsia="Times New Roman" w:cs="Calibri"/>
          <w:color w:val="000000"/>
          <w:szCs w:val="24"/>
          <w:lang w:eastAsia="en-GB"/>
        </w:rPr>
        <w:t>, compared with 20% of other pupils; </w:t>
      </w:r>
      <w:r w:rsidRPr="00AB5503">
        <w:rPr>
          <w:rFonts w:eastAsia="Times New Roman" w:cs="Calibri"/>
          <w:b/>
          <w:bCs/>
          <w:color w:val="000000"/>
          <w:szCs w:val="24"/>
          <w:lang w:eastAsia="en-GB"/>
        </w:rPr>
        <w:t>32% met the persistent absence threshold</w:t>
      </w:r>
      <w:r w:rsidRPr="00AB5503">
        <w:rPr>
          <w:rFonts w:eastAsia="Times New Roman" w:cs="Calibri"/>
          <w:color w:val="000000"/>
          <w:szCs w:val="24"/>
          <w:lang w:eastAsia="en-GB"/>
        </w:rPr>
        <w:t>, compared with 13% of pupils not eligible for FSM.</w:t>
      </w:r>
    </w:p>
    <w:p w14:paraId="5446DE04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color w:val="000000"/>
          <w:szCs w:val="24"/>
          <w:lang w:eastAsia="en-GB"/>
        </w:rPr>
        <w:t>Only </w:t>
      </w:r>
      <w:r w:rsidRPr="00AB5503">
        <w:rPr>
          <w:rFonts w:eastAsia="Times New Roman" w:cs="Calibri"/>
          <w:b/>
          <w:bCs/>
          <w:color w:val="000000"/>
          <w:szCs w:val="24"/>
          <w:lang w:eastAsia="en-GB"/>
        </w:rPr>
        <w:t>54% of young people receiving SEN provision reported feeling that they belonged at school</w:t>
      </w:r>
      <w:r w:rsidRPr="00AB5503">
        <w:rPr>
          <w:rFonts w:eastAsia="Times New Roman" w:cs="Calibri"/>
          <w:color w:val="000000"/>
          <w:szCs w:val="24"/>
          <w:lang w:eastAsia="en-GB"/>
        </w:rPr>
        <w:t>, compared with 66% of those without SEN provision.</w:t>
      </w:r>
    </w:p>
    <w:p w14:paraId="3DC01B2A" w14:textId="77777777" w:rsidR="00F80994" w:rsidRPr="00AB5503" w:rsidRDefault="00F80994" w:rsidP="00F80994">
      <w:pPr>
        <w:spacing w:before="100" w:beforeAutospacing="1" w:after="100" w:afterAutospacing="1" w:line="240" w:lineRule="auto"/>
        <w:outlineLvl w:val="2"/>
        <w:rPr>
          <w:rFonts w:eastAsia="Times New Roman" w:cs="Calibri"/>
          <w:b/>
          <w:bCs/>
          <w:color w:val="000000"/>
          <w:szCs w:val="24"/>
          <w:lang w:eastAsia="en-GB"/>
        </w:rPr>
      </w:pPr>
      <w:r w:rsidRPr="00AB5503">
        <w:rPr>
          <w:rFonts w:eastAsia="Times New Roman" w:cs="Calibri"/>
          <w:b/>
          <w:bCs/>
          <w:color w:val="000000"/>
          <w:szCs w:val="24"/>
          <w:lang w:eastAsia="en-GB"/>
        </w:rPr>
        <w:t>So, what might this mean for schools?</w:t>
      </w:r>
    </w:p>
    <w:p w14:paraId="0DDF00B0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color w:val="000000"/>
          <w:szCs w:val="24"/>
          <w:lang w:eastAsia="en-GB"/>
        </w:rPr>
        <w:t>Perhaps the most important message is not any single statistic.</w:t>
      </w:r>
    </w:p>
    <w:p w14:paraId="3F2A1F07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color w:val="000000"/>
          <w:szCs w:val="24"/>
          <w:lang w:eastAsia="en-GB"/>
        </w:rPr>
        <w:t>The findings remind us that </w:t>
      </w:r>
      <w:r w:rsidRPr="00AB5503">
        <w:rPr>
          <w:rFonts w:eastAsia="Times New Roman" w:cs="Calibri"/>
          <w:b/>
          <w:bCs/>
          <w:color w:val="000000"/>
          <w:szCs w:val="24"/>
          <w:lang w:eastAsia="en-GB"/>
        </w:rPr>
        <w:t>wellbeing, belonging, relationships, attendance, SEND and disadvantage don't necessarily arrive as separate issues in a young person's life</w:t>
      </w:r>
      <w:r w:rsidRPr="00AB5503">
        <w:rPr>
          <w:rFonts w:eastAsia="Times New Roman" w:cs="Calibri"/>
          <w:color w:val="000000"/>
          <w:szCs w:val="24"/>
          <w:lang w:eastAsia="en-GB"/>
        </w:rPr>
        <w:t>. Difficulties can overlap and accumulate.</w:t>
      </w:r>
    </w:p>
    <w:p w14:paraId="4DF52722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color w:val="000000"/>
          <w:szCs w:val="24"/>
          <w:lang w:eastAsia="en-GB"/>
        </w:rPr>
        <w:t>That makes it important to look beyond individual datasets and individual interventions.</w:t>
      </w:r>
    </w:p>
    <w:p w14:paraId="50EB2A27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i/>
          <w:iCs/>
          <w:color w:val="000000"/>
          <w:szCs w:val="24"/>
          <w:lang w:eastAsia="en-GB"/>
        </w:rPr>
      </w:pPr>
      <w:r w:rsidRPr="00AB5503">
        <w:rPr>
          <w:rFonts w:eastAsia="Times New Roman" w:cs="Calibri"/>
          <w:i/>
          <w:iCs/>
          <w:color w:val="000000"/>
          <w:szCs w:val="24"/>
          <w:lang w:eastAsia="en-GB"/>
        </w:rPr>
        <w:t>When attendance begins to fall, what else do we know about that young person's experience of school?</w:t>
      </w:r>
    </w:p>
    <w:p w14:paraId="68BCFC19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i/>
          <w:iCs/>
          <w:color w:val="000000"/>
          <w:szCs w:val="24"/>
          <w:lang w:eastAsia="en-GB"/>
        </w:rPr>
      </w:pPr>
      <w:r w:rsidRPr="00AB5503">
        <w:rPr>
          <w:rFonts w:eastAsia="Times New Roman" w:cs="Calibri"/>
          <w:i/>
          <w:iCs/>
          <w:color w:val="000000"/>
          <w:szCs w:val="24"/>
          <w:lang w:eastAsia="en-GB"/>
        </w:rPr>
        <w:t>When a pupil appears settled, do we know whether they actually feel connected?</w:t>
      </w:r>
    </w:p>
    <w:p w14:paraId="3520346F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color w:val="000000"/>
          <w:szCs w:val="24"/>
          <w:lang w:eastAsia="en-GB"/>
        </w:rPr>
        <w:t>And when we think about wellbeing, are we considering only how a young person is coping or also looking at the relationships, environments and everyday experiences surrounding them?</w:t>
      </w:r>
    </w:p>
    <w:p w14:paraId="2F8848A3" w14:textId="77777777" w:rsidR="00F80994" w:rsidRPr="00AB5503" w:rsidRDefault="00F80994" w:rsidP="00F80994">
      <w:pPr>
        <w:spacing w:before="100" w:beforeAutospacing="1" w:after="100" w:afterAutospacing="1" w:line="240" w:lineRule="auto"/>
        <w:outlineLvl w:val="2"/>
        <w:rPr>
          <w:rFonts w:eastAsia="Times New Roman" w:cs="Calibri"/>
          <w:b/>
          <w:bCs/>
          <w:color w:val="000000"/>
          <w:szCs w:val="24"/>
          <w:lang w:eastAsia="en-GB"/>
        </w:rPr>
      </w:pPr>
      <w:r w:rsidRPr="00AB5503">
        <w:rPr>
          <w:rFonts w:eastAsia="Times New Roman" w:cs="Calibri"/>
          <w:b/>
          <w:bCs/>
          <w:color w:val="000000"/>
          <w:szCs w:val="24"/>
          <w:lang w:eastAsia="en-GB"/>
        </w:rPr>
        <w:t>Safe. Belonging. Mattering.</w:t>
      </w:r>
    </w:p>
    <w:p w14:paraId="1A57658A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color w:val="000000"/>
          <w:szCs w:val="24"/>
          <w:lang w:eastAsia="en-GB"/>
        </w:rPr>
        <w:t>The findings also highlight three related but different questions:</w:t>
      </w:r>
    </w:p>
    <w:p w14:paraId="25DF2E2F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b/>
          <w:bCs/>
          <w:color w:val="000000"/>
          <w:szCs w:val="24"/>
          <w:lang w:eastAsia="en-GB"/>
        </w:rPr>
        <w:t>Do I feel safe here?</w:t>
      </w:r>
      <w:r w:rsidRPr="00AB5503">
        <w:rPr>
          <w:rFonts w:eastAsia="Times New Roman" w:cs="Calibri"/>
          <w:color w:val="000000"/>
          <w:szCs w:val="24"/>
          <w:lang w:eastAsia="en-GB"/>
        </w:rPr>
        <w:br/>
      </w:r>
      <w:r w:rsidRPr="00AB5503">
        <w:rPr>
          <w:rFonts w:eastAsia="Times New Roman" w:cs="Calibri"/>
          <w:i/>
          <w:iCs/>
          <w:color w:val="000000"/>
          <w:szCs w:val="24"/>
          <w:lang w:eastAsia="en-GB"/>
        </w:rPr>
        <w:t>Can I relax enough to learn, participate and be myself?</w:t>
      </w:r>
    </w:p>
    <w:p w14:paraId="7DFB8CC0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b/>
          <w:bCs/>
          <w:color w:val="000000"/>
          <w:szCs w:val="24"/>
          <w:lang w:eastAsia="en-GB"/>
        </w:rPr>
        <w:t>Do I feel that I belong here?</w:t>
      </w:r>
      <w:r w:rsidRPr="00AB5503">
        <w:rPr>
          <w:rFonts w:eastAsia="Times New Roman" w:cs="Calibri"/>
          <w:color w:val="000000"/>
          <w:szCs w:val="24"/>
          <w:lang w:eastAsia="en-GB"/>
        </w:rPr>
        <w:br/>
      </w:r>
      <w:r w:rsidRPr="00AB5503">
        <w:rPr>
          <w:rFonts w:eastAsia="Times New Roman" w:cs="Calibri"/>
          <w:i/>
          <w:iCs/>
          <w:color w:val="000000"/>
          <w:szCs w:val="24"/>
          <w:lang w:eastAsia="en-GB"/>
        </w:rPr>
        <w:t>Am I accepted, connected and part of this community?</w:t>
      </w:r>
    </w:p>
    <w:p w14:paraId="36538D20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b/>
          <w:bCs/>
          <w:color w:val="000000"/>
          <w:szCs w:val="24"/>
          <w:lang w:eastAsia="en-GB"/>
        </w:rPr>
        <w:t>Do I feel that I matter here?</w:t>
      </w:r>
      <w:r w:rsidRPr="00AB5503">
        <w:rPr>
          <w:rFonts w:eastAsia="Times New Roman" w:cs="Calibri"/>
          <w:color w:val="000000"/>
          <w:szCs w:val="24"/>
          <w:lang w:eastAsia="en-GB"/>
        </w:rPr>
        <w:br/>
      </w:r>
      <w:r w:rsidRPr="00AB5503">
        <w:rPr>
          <w:rFonts w:eastAsia="Times New Roman" w:cs="Calibri"/>
          <w:i/>
          <w:iCs/>
          <w:color w:val="000000"/>
          <w:szCs w:val="24"/>
          <w:lang w:eastAsia="en-GB"/>
        </w:rPr>
        <w:t xml:space="preserve">Am I noticed, valued and able to </w:t>
      </w:r>
      <w:proofErr w:type="gramStart"/>
      <w:r w:rsidRPr="00AB5503">
        <w:rPr>
          <w:rFonts w:eastAsia="Times New Roman" w:cs="Calibri"/>
          <w:i/>
          <w:iCs/>
          <w:color w:val="000000"/>
          <w:szCs w:val="24"/>
          <w:lang w:eastAsia="en-GB"/>
        </w:rPr>
        <w:t>make a contribution</w:t>
      </w:r>
      <w:proofErr w:type="gramEnd"/>
      <w:r w:rsidRPr="00AB5503">
        <w:rPr>
          <w:rFonts w:eastAsia="Times New Roman" w:cs="Calibri"/>
          <w:i/>
          <w:iCs/>
          <w:color w:val="000000"/>
          <w:szCs w:val="24"/>
          <w:lang w:eastAsia="en-GB"/>
        </w:rPr>
        <w:t>? Would my absence be noticed?</w:t>
      </w:r>
    </w:p>
    <w:p w14:paraId="3E59C357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color w:val="000000"/>
          <w:szCs w:val="24"/>
          <w:lang w:eastAsia="en-GB"/>
        </w:rPr>
        <w:t>These are not simply questions for pupils who are already struggling. They are useful questions for thinking about the everyday experience of </w:t>
      </w:r>
      <w:r w:rsidRPr="00AB5503">
        <w:rPr>
          <w:rFonts w:eastAsia="Times New Roman" w:cs="Calibri"/>
          <w:b/>
          <w:bCs/>
          <w:color w:val="000000"/>
          <w:szCs w:val="24"/>
          <w:lang w:eastAsia="en-GB"/>
        </w:rPr>
        <w:t>every child and young person</w:t>
      </w:r>
      <w:r w:rsidRPr="00AB5503">
        <w:rPr>
          <w:rFonts w:eastAsia="Times New Roman" w:cs="Calibri"/>
          <w:color w:val="000000"/>
          <w:szCs w:val="24"/>
          <w:lang w:eastAsia="en-GB"/>
        </w:rPr>
        <w:t>.</w:t>
      </w:r>
    </w:p>
    <w:p w14:paraId="14A7BBB9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color w:val="000000"/>
          <w:szCs w:val="24"/>
          <w:lang w:eastAsia="en-GB"/>
        </w:rPr>
        <w:t>The DfE's wider policy direction reinforces that connection. </w:t>
      </w:r>
      <w:r w:rsidRPr="00AB5503">
        <w:rPr>
          <w:rFonts w:eastAsia="Times New Roman" w:cs="Calibri"/>
          <w:i/>
          <w:iCs/>
          <w:color w:val="000000"/>
          <w:szCs w:val="24"/>
          <w:lang w:eastAsia="en-GB"/>
        </w:rPr>
        <w:t>Every child achieving and thriving</w:t>
      </w:r>
      <w:r w:rsidRPr="00AB5503">
        <w:rPr>
          <w:rFonts w:eastAsia="Times New Roman" w:cs="Calibri"/>
          <w:color w:val="000000"/>
          <w:szCs w:val="24"/>
          <w:lang w:eastAsia="en-GB"/>
        </w:rPr>
        <w:t> explicitly identifies </w:t>
      </w:r>
      <w:r w:rsidRPr="00AB5503">
        <w:rPr>
          <w:rFonts w:eastAsia="Times New Roman" w:cs="Calibri"/>
          <w:b/>
          <w:bCs/>
          <w:color w:val="000000"/>
          <w:szCs w:val="24"/>
          <w:lang w:eastAsia="en-GB"/>
        </w:rPr>
        <w:t>pupil belonging</w:t>
      </w:r>
      <w:r w:rsidRPr="00AB5503">
        <w:rPr>
          <w:rFonts w:eastAsia="Times New Roman" w:cs="Calibri"/>
          <w:color w:val="000000"/>
          <w:szCs w:val="24"/>
          <w:lang w:eastAsia="en-GB"/>
        </w:rPr>
        <w:t> as a national priority and says that by 2029 every school is expected to monitor children's belonging and engagement. </w:t>
      </w:r>
      <w:hyperlink r:id="rId7" w:history="1">
        <w:r w:rsidRPr="00AB5503">
          <w:rPr>
            <w:rFonts w:eastAsia="Times New Roman" w:cs="Calibri"/>
            <w:color w:val="0000FF"/>
            <w:szCs w:val="24"/>
            <w:u w:val="single"/>
            <w:lang w:eastAsia="en-GB"/>
          </w:rPr>
          <w:t>GOV.UK</w:t>
        </w:r>
      </w:hyperlink>
    </w:p>
    <w:p w14:paraId="01D956E4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color w:val="000000"/>
          <w:szCs w:val="24"/>
          <w:lang w:eastAsia="en-GB"/>
        </w:rPr>
        <w:t>A question schools may want to consider is:</w:t>
      </w:r>
    </w:p>
    <w:p w14:paraId="09E72287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b/>
          <w:bCs/>
          <w:color w:val="000000"/>
          <w:szCs w:val="24"/>
          <w:lang w:eastAsia="en-GB"/>
        </w:rPr>
        <w:t>Who is thriving, who might be struggling and how would we know?</w:t>
      </w:r>
    </w:p>
    <w:p w14:paraId="03244348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color w:val="000000"/>
          <w:szCs w:val="24"/>
          <w:lang w:eastAsia="en-GB"/>
        </w:rPr>
        <w:t>Bringing together </w:t>
      </w:r>
      <w:r w:rsidRPr="00AB5503">
        <w:rPr>
          <w:rFonts w:eastAsia="Times New Roman" w:cs="Calibri"/>
          <w:b/>
          <w:bCs/>
          <w:color w:val="000000"/>
          <w:szCs w:val="24"/>
          <w:lang w:eastAsia="en-GB"/>
        </w:rPr>
        <w:t>pupil voice, relationships, belonging, attendance, wellbeing and inclusion</w:t>
      </w:r>
      <w:r w:rsidRPr="00AB5503">
        <w:rPr>
          <w:rFonts w:eastAsia="Times New Roman" w:cs="Calibri"/>
          <w:color w:val="000000"/>
          <w:szCs w:val="24"/>
          <w:lang w:eastAsia="en-GB"/>
        </w:rPr>
        <w:t> may tell us something that looking at each in isolation cannot.</w:t>
      </w:r>
    </w:p>
    <w:p w14:paraId="2135C809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color w:val="000000"/>
          <w:szCs w:val="24"/>
          <w:lang w:eastAsia="en-GB"/>
        </w:rPr>
        <w:t>This is only the first wave of </w:t>
      </w:r>
      <w:r w:rsidRPr="00AB5503">
        <w:rPr>
          <w:rFonts w:eastAsia="Times New Roman" w:cs="Calibri"/>
          <w:i/>
          <w:iCs/>
          <w:color w:val="000000"/>
          <w:szCs w:val="24"/>
          <w:lang w:eastAsia="en-GB"/>
        </w:rPr>
        <w:t>Growing Up in the 2020s</w:t>
      </w:r>
      <w:r w:rsidRPr="00AB5503">
        <w:rPr>
          <w:rFonts w:eastAsia="Times New Roman" w:cs="Calibri"/>
          <w:color w:val="000000"/>
          <w:szCs w:val="24"/>
          <w:lang w:eastAsia="en-GB"/>
        </w:rPr>
        <w:t>. The same young people will be followed through Years 9, 11 and 12, helping us understand how their experiences change — and what might help young people to thrive as they move through adolescence.</w:t>
      </w:r>
    </w:p>
    <w:p w14:paraId="2747D645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b/>
          <w:bCs/>
          <w:color w:val="000000"/>
          <w:szCs w:val="24"/>
          <w:lang w:eastAsia="en-GB"/>
        </w:rPr>
        <w:t>Source:</w:t>
      </w:r>
      <w:r w:rsidRPr="00AB5503">
        <w:rPr>
          <w:rFonts w:eastAsia="Times New Roman" w:cs="Calibri"/>
          <w:color w:val="000000"/>
          <w:szCs w:val="24"/>
          <w:lang w:eastAsia="en-GB"/>
        </w:rPr>
        <w:t> Department for Education (2026), </w:t>
      </w:r>
      <w:r w:rsidRPr="00AB5503">
        <w:rPr>
          <w:rFonts w:eastAsia="Times New Roman" w:cs="Calibri"/>
          <w:i/>
          <w:iCs/>
          <w:color w:val="000000"/>
          <w:szCs w:val="24"/>
          <w:lang w:eastAsia="en-GB"/>
        </w:rPr>
        <w:t>Growing Up in the 2020s: first survey of young people at age 12 and 13</w:t>
      </w:r>
      <w:r w:rsidRPr="00AB5503">
        <w:rPr>
          <w:rFonts w:eastAsia="Times New Roman" w:cs="Calibri"/>
          <w:color w:val="000000"/>
          <w:szCs w:val="24"/>
          <w:lang w:eastAsia="en-GB"/>
        </w:rPr>
        <w:t>. Study led by Anna Freud in partnership with UCL and Ipsos.</w:t>
      </w:r>
    </w:p>
    <w:p w14:paraId="09F3E638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color w:val="000000"/>
          <w:szCs w:val="24"/>
          <w:lang w:eastAsia="en-GB"/>
        </w:rPr>
        <w:t>The figures and description above are grounded in the first-wave results: 7,811 young people took part, and the sample was weighted to represent the Year 8 population in England. </w:t>
      </w:r>
      <w:hyperlink r:id="rId8" w:history="1">
        <w:r w:rsidRPr="00AB5503">
          <w:rPr>
            <w:rFonts w:eastAsia="Times New Roman" w:cs="Calibri"/>
            <w:color w:val="0000FF"/>
            <w:szCs w:val="24"/>
            <w:u w:val="single"/>
            <w:lang w:eastAsia="en-GB"/>
          </w:rPr>
          <w:t>GOV.UK</w:t>
        </w:r>
      </w:hyperlink>
    </w:p>
    <w:p w14:paraId="6CD39AF4" w14:textId="77777777" w:rsidR="00F80994" w:rsidRPr="00AB5503" w:rsidRDefault="00F80994" w:rsidP="00F80994">
      <w:pPr>
        <w:spacing w:before="100" w:beforeAutospacing="1" w:after="100" w:afterAutospacing="1" w:line="240" w:lineRule="auto"/>
        <w:outlineLvl w:val="1"/>
        <w:rPr>
          <w:rFonts w:eastAsia="Times New Roman" w:cs="Calibri"/>
          <w:b/>
          <w:bCs/>
          <w:color w:val="000000"/>
          <w:szCs w:val="24"/>
          <w:lang w:eastAsia="en-GB"/>
        </w:rPr>
      </w:pPr>
      <w:r w:rsidRPr="00AB5503">
        <w:rPr>
          <w:rFonts w:eastAsia="Times New Roman" w:cs="Calibri"/>
          <w:b/>
          <w:bCs/>
          <w:color w:val="000000"/>
          <w:szCs w:val="24"/>
          <w:lang w:eastAsia="en-GB"/>
        </w:rPr>
        <w:t>From evidence to practice</w:t>
      </w:r>
    </w:p>
    <w:p w14:paraId="0CEC6DB7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color w:val="000000"/>
          <w:szCs w:val="24"/>
          <w:lang w:eastAsia="en-GB"/>
        </w:rPr>
        <w:t>What helps children and young people to feel safe, connected and able to thrive at school?</w:t>
      </w:r>
    </w:p>
    <w:p w14:paraId="6539CEAF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  <w:r w:rsidRPr="00AB5503">
        <w:rPr>
          <w:rFonts w:eastAsia="Times New Roman" w:cs="Calibri"/>
          <w:color w:val="000000"/>
          <w:szCs w:val="24"/>
          <w:lang w:eastAsia="en-GB"/>
        </w:rPr>
        <w:t xml:space="preserve">The upcoming </w:t>
      </w:r>
      <w:hyperlink r:id="rId9" w:anchor="search_training" w:history="1">
        <w:r w:rsidRPr="00AB5503">
          <w:rPr>
            <w:rStyle w:val="Hyperlink"/>
            <w:rFonts w:eastAsia="Times New Roman" w:cs="Calibri"/>
            <w:szCs w:val="24"/>
            <w:lang w:eastAsia="en-GB"/>
          </w:rPr>
          <w:t xml:space="preserve">Headstart </w:t>
        </w:r>
        <w:r w:rsidRPr="00AB5503">
          <w:rPr>
            <w:rStyle w:val="Hyperlink"/>
            <w:rFonts w:eastAsia="Times New Roman" w:cs="Calibri"/>
            <w:b/>
            <w:bCs/>
            <w:szCs w:val="24"/>
            <w:lang w:eastAsia="en-GB"/>
          </w:rPr>
          <w:t>Brilliant ME in Action webinars</w:t>
        </w:r>
      </w:hyperlink>
      <w:r w:rsidRPr="00AB5503">
        <w:rPr>
          <w:rFonts w:eastAsia="Times New Roman" w:cs="Calibri"/>
          <w:b/>
          <w:bCs/>
          <w:color w:val="000000"/>
          <w:szCs w:val="24"/>
          <w:lang w:eastAsia="en-GB"/>
        </w:rPr>
        <w:t xml:space="preserve"> </w:t>
      </w:r>
      <w:r w:rsidRPr="00AB5503">
        <w:rPr>
          <w:rFonts w:eastAsia="Times New Roman" w:cs="Calibri"/>
          <w:color w:val="000000"/>
          <w:szCs w:val="24"/>
          <w:lang w:eastAsia="en-GB"/>
        </w:rPr>
        <w:t>will explore practical ways schools can strengthen social and emotional learning, relationships, belonging and wellbeing — not as another standalone initiative, but as part of the everyday experience of school.</w:t>
      </w:r>
    </w:p>
    <w:p w14:paraId="75BAFB2B" w14:textId="77777777" w:rsidR="00F80994" w:rsidRPr="00AB5503" w:rsidRDefault="00F80994" w:rsidP="00F80994">
      <w:pPr>
        <w:spacing w:before="100" w:beforeAutospacing="1" w:after="100" w:afterAutospacing="1" w:line="240" w:lineRule="auto"/>
        <w:rPr>
          <w:rFonts w:eastAsia="Times New Roman" w:cs="Calibri"/>
          <w:color w:val="000000"/>
          <w:szCs w:val="24"/>
          <w:lang w:eastAsia="en-GB"/>
        </w:rPr>
      </w:pPr>
    </w:p>
    <w:p w14:paraId="3B0D230E" w14:textId="77777777" w:rsidR="007F2AC5" w:rsidRDefault="007F2AC5"/>
    <w:sectPr w:rsidR="007F2AC5" w:rsidSect="00F809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655F3B" w14:textId="77777777" w:rsidR="00F005D7" w:rsidRDefault="00F005D7" w:rsidP="00F80994">
      <w:pPr>
        <w:spacing w:after="0" w:line="240" w:lineRule="auto"/>
      </w:pPr>
      <w:r>
        <w:separator/>
      </w:r>
    </w:p>
  </w:endnote>
  <w:endnote w:type="continuationSeparator" w:id="0">
    <w:p w14:paraId="2C449DC8" w14:textId="77777777" w:rsidR="00F005D7" w:rsidRDefault="00F005D7" w:rsidP="00F80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4DC18A" w14:textId="77777777" w:rsidR="00F005D7" w:rsidRDefault="00F005D7" w:rsidP="00F80994">
      <w:pPr>
        <w:spacing w:after="0" w:line="240" w:lineRule="auto"/>
      </w:pPr>
      <w:r>
        <w:separator/>
      </w:r>
    </w:p>
  </w:footnote>
  <w:footnote w:type="continuationSeparator" w:id="0">
    <w:p w14:paraId="2C8F9D30" w14:textId="77777777" w:rsidR="00F005D7" w:rsidRDefault="00F005D7" w:rsidP="00F80994">
      <w:pPr>
        <w:spacing w:after="0" w:line="240" w:lineRule="auto"/>
      </w:pPr>
      <w:r>
        <w:continuationSeparator/>
      </w:r>
    </w:p>
  </w:footnote>
  <w:footnote w:id="1">
    <w:p w14:paraId="21429A88" w14:textId="77777777" w:rsidR="00F80994" w:rsidRDefault="00F80994" w:rsidP="00F80994">
      <w:pPr>
        <w:pStyle w:val="FootnoteText"/>
      </w:pPr>
      <w:r>
        <w:rPr>
          <w:rStyle w:val="FootnoteReference"/>
        </w:rPr>
        <w:footnoteRef/>
      </w:r>
      <w:r>
        <w:t xml:space="preserve"> Part of a wider study of children in the Early Years and aged 5 – 12 (</w:t>
      </w:r>
      <w:hyperlink r:id="rId1" w:history="1">
        <w:r w:rsidRPr="00B2731A">
          <w:rPr>
            <w:rStyle w:val="Hyperlink"/>
          </w:rPr>
          <w:t>The Five to Twelve year one report</w:t>
        </w:r>
      </w:hyperlink>
      <w:r>
        <w:t xml:space="preserve"> was published in August)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B9B484F"/>
    <w:multiLevelType w:val="hybridMultilevel"/>
    <w:tmpl w:val="B08C6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93161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994"/>
    <w:rsid w:val="00006B01"/>
    <w:rsid w:val="001C500F"/>
    <w:rsid w:val="001F7045"/>
    <w:rsid w:val="003364AF"/>
    <w:rsid w:val="00353703"/>
    <w:rsid w:val="0035612A"/>
    <w:rsid w:val="007F2AC5"/>
    <w:rsid w:val="008B2FC5"/>
    <w:rsid w:val="009821FE"/>
    <w:rsid w:val="00A14D9C"/>
    <w:rsid w:val="00AB3444"/>
    <w:rsid w:val="00B64A49"/>
    <w:rsid w:val="00BB2857"/>
    <w:rsid w:val="00EE3E4E"/>
    <w:rsid w:val="00F005D7"/>
    <w:rsid w:val="00F8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A489E"/>
  <w15:chartTrackingRefBased/>
  <w15:docId w15:val="{3025F4C2-9143-5440-BEF9-3A3424AB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994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0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9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9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9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99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99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99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99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994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994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994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994"/>
    <w:rPr>
      <w:rFonts w:eastAsiaTheme="majorEastAsia" w:cstheme="majorBidi"/>
      <w:i/>
      <w:iCs/>
      <w:color w:val="0F4761" w:themeColor="accent1" w:themeShade="BF"/>
      <w:kern w:val="0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994"/>
    <w:rPr>
      <w:rFonts w:eastAsiaTheme="majorEastAsia" w:cstheme="majorBidi"/>
      <w:color w:val="0F4761" w:themeColor="accent1" w:themeShade="BF"/>
      <w:kern w:val="0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994"/>
    <w:rPr>
      <w:rFonts w:eastAsiaTheme="majorEastAsia" w:cstheme="majorBidi"/>
      <w:i/>
      <w:iCs/>
      <w:color w:val="595959" w:themeColor="text1" w:themeTint="A6"/>
      <w:kern w:val="0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994"/>
    <w:rPr>
      <w:rFonts w:eastAsiaTheme="majorEastAsia" w:cstheme="majorBidi"/>
      <w:color w:val="595959" w:themeColor="text1" w:themeTint="A6"/>
      <w:kern w:val="0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994"/>
    <w:rPr>
      <w:rFonts w:eastAsiaTheme="majorEastAsia" w:cstheme="majorBidi"/>
      <w:i/>
      <w:iCs/>
      <w:color w:val="272727" w:themeColor="text1" w:themeTint="D8"/>
      <w:kern w:val="0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994"/>
    <w:rPr>
      <w:rFonts w:eastAsiaTheme="majorEastAsia" w:cstheme="majorBidi"/>
      <w:color w:val="272727" w:themeColor="text1" w:themeTint="D8"/>
      <w:kern w:val="0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F809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99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99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099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F809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0994"/>
    <w:rPr>
      <w:rFonts w:ascii="Calibri" w:hAnsi="Calibri"/>
      <w:i/>
      <w:iCs/>
      <w:color w:val="404040" w:themeColor="text1" w:themeTint="BF"/>
      <w:kern w:val="0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F809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09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9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994"/>
    <w:rPr>
      <w:rFonts w:ascii="Calibri" w:hAnsi="Calibri"/>
      <w:i/>
      <w:iCs/>
      <w:color w:val="0F4761" w:themeColor="accent1" w:themeShade="BF"/>
      <w:kern w:val="0"/>
      <w:szCs w:val="22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F809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8099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8099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80994"/>
    <w:rPr>
      <w:rFonts w:ascii="Calibri" w:hAnsi="Calibri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F809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growing-up-in-the-2020s-first-survey-of-young-people-at-age-12-and-13/research-brief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every-child-achieving-and-thriving/every-child-achieving-and-thriving-html-version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headstartkernow.org.uk/index.php?process=true&amp;page=calendar&amp;search_courses%5B%5D=92&amp;date=all&amp;submit_sessions=Show+training+dates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fivetotwelve.org.uk/publications-and-press-releas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796</Words>
  <Characters>4141</Characters>
  <Application>Microsoft Office Word</Application>
  <DocSecurity>0</DocSecurity>
  <Lines>78</Lines>
  <Paragraphs>51</Paragraphs>
  <ScaleCrop>false</ScaleCrop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P</dc:creator>
  <cp:keywords/>
  <dc:description/>
  <cp:lastModifiedBy>Kate P</cp:lastModifiedBy>
  <cp:revision>1</cp:revision>
  <dcterms:created xsi:type="dcterms:W3CDTF">2026-10-06T12:54:00Z</dcterms:created>
  <dcterms:modified xsi:type="dcterms:W3CDTF">2026-10-06T12:55:00Z</dcterms:modified>
</cp:coreProperties>
</file>